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528A" w14:textId="77777777" w:rsidR="00B33F23" w:rsidRPr="004A12B7" w:rsidRDefault="00B33F23" w:rsidP="00B33F23">
      <w:pPr>
        <w:spacing w:after="120" w:line="240" w:lineRule="auto"/>
        <w:jc w:val="center"/>
        <w:rPr>
          <w:rFonts w:ascii="Calibri" w:hAnsi="Calibri" w:cs="Calibri"/>
          <w:b/>
          <w:sz w:val="28"/>
        </w:rPr>
      </w:pPr>
      <w:r w:rsidRPr="004A12B7">
        <w:rPr>
          <w:rFonts w:ascii="Calibri" w:hAnsi="Calibri" w:cs="Calibri"/>
          <w:b/>
          <w:sz w:val="28"/>
        </w:rPr>
        <w:t>Communities of Practice: Rural Communities Opioids Response Program</w:t>
      </w:r>
    </w:p>
    <w:p w14:paraId="7B8B2CCE" w14:textId="77777777" w:rsidR="00B33F23" w:rsidRPr="004A12B7" w:rsidRDefault="00B33F23" w:rsidP="00B33F23">
      <w:pPr>
        <w:spacing w:after="120" w:line="240" w:lineRule="auto"/>
        <w:jc w:val="center"/>
        <w:rPr>
          <w:b/>
          <w:sz w:val="28"/>
        </w:rPr>
      </w:pPr>
      <w:r w:rsidRPr="004A12B7">
        <w:rPr>
          <w:b/>
          <w:sz w:val="28"/>
        </w:rPr>
        <w:t xml:space="preserve">Sustainability Plan Development and Submission Guide </w:t>
      </w:r>
    </w:p>
    <w:p w14:paraId="2542CF47" w14:textId="77777777" w:rsidR="00DA1277" w:rsidRPr="0078438D" w:rsidRDefault="00C5182E" w:rsidP="00B33F23">
      <w:pPr>
        <w:spacing w:after="120" w:line="240" w:lineRule="auto"/>
        <w:jc w:val="center"/>
        <w:rPr>
          <w:b/>
          <w:i/>
          <w:color w:val="911459"/>
          <w:sz w:val="24"/>
        </w:rPr>
      </w:pPr>
      <w:r w:rsidRPr="0078438D">
        <w:rPr>
          <w:b/>
          <w:i/>
          <w:color w:val="911459"/>
          <w:sz w:val="24"/>
        </w:rPr>
        <w:t xml:space="preserve">Conducting the Assessment Using </w:t>
      </w:r>
      <w:r w:rsidR="00853C45" w:rsidRPr="0078438D">
        <w:rPr>
          <w:b/>
          <w:i/>
          <w:color w:val="911459"/>
          <w:sz w:val="24"/>
        </w:rPr>
        <w:t>Average Scores</w:t>
      </w:r>
      <w:r w:rsidR="0078438D" w:rsidRPr="0078438D">
        <w:rPr>
          <w:b/>
          <w:i/>
          <w:color w:val="911459"/>
          <w:sz w:val="24"/>
        </w:rPr>
        <w:t xml:space="preserve"> – Directions for Project Directors</w:t>
      </w:r>
    </w:p>
    <w:p w14:paraId="0F1694C3" w14:textId="77777777" w:rsidR="00040053" w:rsidRDefault="00D0063E" w:rsidP="00040053">
      <w:pPr>
        <w:spacing w:line="254" w:lineRule="auto"/>
        <w:rPr>
          <w:sz w:val="24"/>
          <w:szCs w:val="24"/>
        </w:rPr>
      </w:pPr>
      <w:r>
        <w:rPr>
          <w:sz w:val="24"/>
        </w:rPr>
        <w:t xml:space="preserve">All </w:t>
      </w:r>
      <w:r w:rsidR="00040053" w:rsidRPr="00287CB9">
        <w:rPr>
          <w:sz w:val="24"/>
        </w:rPr>
        <w:t>COP-RCORP local communities will complet</w:t>
      </w:r>
      <w:r w:rsidR="00040053">
        <w:rPr>
          <w:sz w:val="24"/>
        </w:rPr>
        <w:t>e</w:t>
      </w:r>
      <w:r w:rsidR="00040053" w:rsidRPr="00287CB9">
        <w:rPr>
          <w:sz w:val="24"/>
        </w:rPr>
        <w:t xml:space="preserve"> the Program Sustainability Assessment Tool </w:t>
      </w:r>
      <w:r w:rsidR="00040053">
        <w:rPr>
          <w:sz w:val="24"/>
        </w:rPr>
        <w:t xml:space="preserve">(PSAT) </w:t>
      </w:r>
      <w:r w:rsidR="00040053" w:rsidRPr="00287CB9">
        <w:rPr>
          <w:sz w:val="24"/>
        </w:rPr>
        <w:t xml:space="preserve">from Washington University. </w:t>
      </w:r>
      <w:r w:rsidR="00040053">
        <w:rPr>
          <w:sz w:val="24"/>
          <w:szCs w:val="24"/>
        </w:rPr>
        <w:t xml:space="preserve">The PSAT will be used as a sustainability assessment about the capacity of your local planning infrastructure, which is your Local COP-RCORP Consortium. </w:t>
      </w:r>
    </w:p>
    <w:p w14:paraId="7055B8A1" w14:textId="77777777" w:rsidR="00040053" w:rsidRDefault="00040053" w:rsidP="00040053">
      <w:pPr>
        <w:spacing w:line="254" w:lineRule="auto"/>
        <w:rPr>
          <w:sz w:val="24"/>
          <w:szCs w:val="24"/>
        </w:rPr>
      </w:pPr>
      <w:r w:rsidRPr="00BE2AE2">
        <w:rPr>
          <w:sz w:val="24"/>
        </w:rPr>
        <w:t xml:space="preserve">These instructions are </w:t>
      </w:r>
      <w:r w:rsidR="00D0063E">
        <w:rPr>
          <w:sz w:val="24"/>
        </w:rPr>
        <w:t xml:space="preserve">for those who </w:t>
      </w:r>
      <w:r w:rsidRPr="00BE2AE2">
        <w:rPr>
          <w:sz w:val="24"/>
        </w:rPr>
        <w:t xml:space="preserve">plan to have </w:t>
      </w:r>
      <w:r w:rsidR="00D0063E">
        <w:rPr>
          <w:sz w:val="24"/>
        </w:rPr>
        <w:t xml:space="preserve">a </w:t>
      </w:r>
      <w:r w:rsidRPr="00BE2AE2">
        <w:rPr>
          <w:sz w:val="24"/>
        </w:rPr>
        <w:t>local core planning group complete the assessment individually and receive a</w:t>
      </w:r>
      <w:r w:rsidR="00D0063E">
        <w:rPr>
          <w:sz w:val="24"/>
        </w:rPr>
        <w:t xml:space="preserve"> Summary Assessment </w:t>
      </w:r>
      <w:r w:rsidRPr="00BE2AE2">
        <w:rPr>
          <w:sz w:val="24"/>
        </w:rPr>
        <w:t>report with average scores in the eight domains.</w:t>
      </w:r>
      <w:r w:rsidRPr="00287CB9">
        <w:rPr>
          <w:sz w:val="24"/>
        </w:rPr>
        <w:t xml:space="preserve"> </w:t>
      </w:r>
      <w:r>
        <w:rPr>
          <w:sz w:val="24"/>
          <w:szCs w:val="24"/>
        </w:rPr>
        <w:t>Below are some key points to keep in mind.</w:t>
      </w:r>
    </w:p>
    <w:p w14:paraId="2398F6BF" w14:textId="77777777" w:rsidR="00040053" w:rsidRPr="00442B68" w:rsidRDefault="00040053" w:rsidP="00040053">
      <w:pPr>
        <w:spacing w:after="240" w:line="240" w:lineRule="auto"/>
        <w:textAlignment w:val="baseline"/>
        <w:outlineLvl w:val="0"/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</w:pP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 xml:space="preserve">Important </w:t>
      </w:r>
      <w:r w:rsidRPr="00E03ABA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>Context</w:t>
      </w: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 xml:space="preserve"> </w:t>
      </w:r>
      <w:r w:rsidRPr="00040053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>Regarding</w:t>
      </w: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 xml:space="preserve"> Sustainability</w:t>
      </w:r>
    </w:p>
    <w:p w14:paraId="3E3EB369" w14:textId="313D6FD1" w:rsidR="00040053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9F54F2">
        <w:rPr>
          <w:rFonts w:cstheme="minorHAnsi"/>
          <w:sz w:val="24"/>
          <w:szCs w:val="24"/>
        </w:rPr>
        <w:t>his sustainability assessment is not about sustaining a</w:t>
      </w:r>
      <w:r w:rsidR="00415F39">
        <w:rPr>
          <w:rFonts w:cstheme="minorHAnsi"/>
          <w:sz w:val="24"/>
          <w:szCs w:val="24"/>
        </w:rPr>
        <w:t>n individual</w:t>
      </w:r>
      <w:r w:rsidRPr="009F54F2">
        <w:rPr>
          <w:rFonts w:cstheme="minorHAnsi"/>
          <w:sz w:val="24"/>
          <w:szCs w:val="24"/>
        </w:rPr>
        <w:t xml:space="preserve"> program or your current strategic plans. Instead, </w:t>
      </w:r>
      <w:r>
        <w:rPr>
          <w:rFonts w:cstheme="minorHAnsi"/>
          <w:sz w:val="24"/>
          <w:szCs w:val="24"/>
        </w:rPr>
        <w:t>it is</w:t>
      </w:r>
      <w:r w:rsidRPr="009F54F2">
        <w:rPr>
          <w:rFonts w:cstheme="minorHAnsi"/>
          <w:sz w:val="24"/>
          <w:szCs w:val="24"/>
        </w:rPr>
        <w:t xml:space="preserve"> as an opportunity to reflect on your local consortium’s capacity to engage, monitor, and adapt your plans to address </w:t>
      </w:r>
      <w:r>
        <w:rPr>
          <w:rFonts w:cstheme="minorHAnsi"/>
          <w:sz w:val="24"/>
          <w:szCs w:val="24"/>
        </w:rPr>
        <w:t>opiate used disorders</w:t>
      </w:r>
      <w:r w:rsidRPr="009F54F2">
        <w:rPr>
          <w:rFonts w:cstheme="minorHAnsi"/>
          <w:sz w:val="24"/>
          <w:szCs w:val="24"/>
        </w:rPr>
        <w:t xml:space="preserve"> over time.</w:t>
      </w:r>
    </w:p>
    <w:p w14:paraId="06759B90" w14:textId="77777777" w:rsidR="00040053" w:rsidRPr="009F54F2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>As you and other staff answer the assessment questions, you will frequently see the word “Program</w:t>
      </w:r>
      <w:r>
        <w:rPr>
          <w:rFonts w:cstheme="minorHAnsi"/>
          <w:sz w:val="24"/>
          <w:szCs w:val="24"/>
        </w:rPr>
        <w:t>”</w:t>
      </w:r>
      <w:r w:rsidRPr="009F54F2">
        <w:rPr>
          <w:rFonts w:cstheme="minorHAnsi"/>
          <w:sz w:val="24"/>
          <w:szCs w:val="24"/>
        </w:rPr>
        <w:t>. It is important to consciously replace the word, “Program” every time it appears with “Local COP-RCORP Consortium.”</w:t>
      </w:r>
    </w:p>
    <w:p w14:paraId="68DDA3AC" w14:textId="77777777" w:rsidR="00040053" w:rsidRPr="009F54F2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 xml:space="preserve">We are not able to change </w:t>
      </w:r>
      <w:r>
        <w:rPr>
          <w:rFonts w:cstheme="minorHAnsi"/>
          <w:sz w:val="24"/>
          <w:szCs w:val="24"/>
        </w:rPr>
        <w:t>the</w:t>
      </w:r>
      <w:r w:rsidRPr="009F54F2">
        <w:rPr>
          <w:rFonts w:cstheme="minorHAnsi"/>
          <w:sz w:val="24"/>
          <w:szCs w:val="24"/>
        </w:rPr>
        <w:t xml:space="preserve"> words in the questions, so </w:t>
      </w:r>
      <w:r>
        <w:rPr>
          <w:rFonts w:cstheme="minorHAnsi"/>
          <w:sz w:val="24"/>
          <w:szCs w:val="24"/>
        </w:rPr>
        <w:t>you will need to ma</w:t>
      </w:r>
      <w:r w:rsidRPr="009F54F2">
        <w:rPr>
          <w:rFonts w:cstheme="minorHAnsi"/>
          <w:sz w:val="24"/>
          <w:szCs w:val="24"/>
        </w:rPr>
        <w:t xml:space="preserve">ke this replacement in your mind every time you see it. </w:t>
      </w:r>
    </w:p>
    <w:p w14:paraId="19DCFED0" w14:textId="77777777" w:rsidR="00040053" w:rsidRPr="009F54F2" w:rsidRDefault="00040053" w:rsidP="00040053">
      <w:pPr>
        <w:pStyle w:val="ListParagraph"/>
        <w:spacing w:after="0" w:line="240" w:lineRule="auto"/>
        <w:ind w:left="864" w:right="720"/>
        <w:contextualSpacing w:val="0"/>
        <w:rPr>
          <w:rFonts w:cstheme="minorHAnsi"/>
          <w:sz w:val="24"/>
          <w:szCs w:val="24"/>
        </w:rPr>
      </w:pPr>
    </w:p>
    <w:p w14:paraId="4E2838AB" w14:textId="77777777" w:rsidR="00040053" w:rsidRPr="00442B68" w:rsidRDefault="00040053" w:rsidP="00040053">
      <w:pPr>
        <w:spacing w:after="240" w:line="240" w:lineRule="auto"/>
        <w:textAlignment w:val="baseline"/>
        <w:outlineLvl w:val="0"/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</w:pP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>Sustaining Capacity</w:t>
      </w:r>
    </w:p>
    <w:p w14:paraId="7812E06B" w14:textId="77777777" w:rsidR="00040053" w:rsidRPr="009F54F2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>Many factors contribute to sustainability. The sustainability assessment tool will hopefully enable you to assess your Local C</w:t>
      </w:r>
      <w:r>
        <w:rPr>
          <w:rFonts w:cstheme="minorHAnsi"/>
          <w:sz w:val="24"/>
          <w:szCs w:val="24"/>
        </w:rPr>
        <w:t>o</w:t>
      </w:r>
      <w:r w:rsidRPr="009F54F2">
        <w:rPr>
          <w:rFonts w:cstheme="minorHAnsi"/>
          <w:sz w:val="24"/>
          <w:szCs w:val="24"/>
        </w:rPr>
        <w:t xml:space="preserve">P-RCORP Consortium’s current capacity for sustainability across a range of specific organizational and contextual factors. </w:t>
      </w:r>
    </w:p>
    <w:p w14:paraId="07386315" w14:textId="77777777" w:rsidR="00040053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 xml:space="preserve">With knowledge of these critical factors, stakeholders can </w:t>
      </w:r>
      <w:r>
        <w:rPr>
          <w:rFonts w:cstheme="minorHAnsi"/>
          <w:sz w:val="24"/>
          <w:szCs w:val="24"/>
        </w:rPr>
        <w:t xml:space="preserve">focus on </w:t>
      </w:r>
      <w:r w:rsidRPr="009F54F2">
        <w:rPr>
          <w:rFonts w:cstheme="minorHAnsi"/>
          <w:sz w:val="24"/>
          <w:szCs w:val="24"/>
        </w:rPr>
        <w:t>build</w:t>
      </w:r>
      <w:r>
        <w:rPr>
          <w:rFonts w:cstheme="minorHAnsi"/>
          <w:sz w:val="24"/>
          <w:szCs w:val="24"/>
        </w:rPr>
        <w:t>ing</w:t>
      </w:r>
      <w:r w:rsidRPr="009F54F2">
        <w:rPr>
          <w:rFonts w:cstheme="minorHAnsi"/>
          <w:sz w:val="24"/>
          <w:szCs w:val="24"/>
        </w:rPr>
        <w:t xml:space="preserve"> </w:t>
      </w:r>
      <w:r w:rsidRPr="009F54F2">
        <w:rPr>
          <w:rFonts w:cstheme="minorHAnsi"/>
          <w:i/>
          <w:iCs/>
          <w:sz w:val="24"/>
          <w:szCs w:val="24"/>
        </w:rPr>
        <w:t xml:space="preserve">capacity </w:t>
      </w:r>
      <w:r w:rsidRPr="009F54F2">
        <w:rPr>
          <w:rFonts w:cstheme="minorHAnsi"/>
          <w:sz w:val="24"/>
          <w:szCs w:val="24"/>
        </w:rPr>
        <w:t>for sustainability and position</w:t>
      </w:r>
      <w:r>
        <w:rPr>
          <w:rFonts w:cstheme="minorHAnsi"/>
          <w:sz w:val="24"/>
          <w:szCs w:val="24"/>
        </w:rPr>
        <w:t>ing</w:t>
      </w:r>
      <w:r w:rsidRPr="009F54F2">
        <w:rPr>
          <w:rFonts w:cstheme="minorHAnsi"/>
          <w:sz w:val="24"/>
          <w:szCs w:val="24"/>
        </w:rPr>
        <w:t xml:space="preserve"> their efforts for long term success.</w:t>
      </w:r>
    </w:p>
    <w:p w14:paraId="193DD9FF" w14:textId="77777777" w:rsidR="00040053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reminder, </w:t>
      </w:r>
      <w:r w:rsidRPr="009F54F2">
        <w:rPr>
          <w:rFonts w:cstheme="minorHAnsi"/>
          <w:sz w:val="24"/>
          <w:szCs w:val="24"/>
        </w:rPr>
        <w:t>you</w:t>
      </w:r>
      <w:r>
        <w:rPr>
          <w:rFonts w:cstheme="minorHAnsi"/>
          <w:sz w:val="24"/>
          <w:szCs w:val="24"/>
        </w:rPr>
        <w:t>r community</w:t>
      </w:r>
      <w:r w:rsidRPr="009F54F2">
        <w:rPr>
          <w:rFonts w:cstheme="minorHAnsi"/>
          <w:sz w:val="24"/>
          <w:szCs w:val="24"/>
        </w:rPr>
        <w:t xml:space="preserve"> ha</w:t>
      </w:r>
      <w:r>
        <w:rPr>
          <w:rFonts w:cstheme="minorHAnsi"/>
          <w:sz w:val="24"/>
          <w:szCs w:val="24"/>
        </w:rPr>
        <w:t>s</w:t>
      </w:r>
      <w:r w:rsidRPr="009F54F2">
        <w:rPr>
          <w:rFonts w:cstheme="minorHAnsi"/>
          <w:sz w:val="24"/>
          <w:szCs w:val="24"/>
        </w:rPr>
        <w:t xml:space="preserve"> been selected for this HRSA initiative to build your local capacity. </w:t>
      </w:r>
      <w:r>
        <w:rPr>
          <w:rFonts w:cstheme="minorHAnsi"/>
          <w:sz w:val="24"/>
          <w:szCs w:val="24"/>
        </w:rPr>
        <w:t>Please resist the urge to “</w:t>
      </w:r>
      <w:r w:rsidRPr="009F54F2">
        <w:rPr>
          <w:rFonts w:cstheme="minorHAnsi"/>
          <w:sz w:val="24"/>
          <w:szCs w:val="24"/>
        </w:rPr>
        <w:t xml:space="preserve">paint a </w:t>
      </w:r>
      <w:r>
        <w:rPr>
          <w:rFonts w:cstheme="minorHAnsi"/>
          <w:sz w:val="24"/>
          <w:szCs w:val="24"/>
        </w:rPr>
        <w:t xml:space="preserve">perfect” </w:t>
      </w:r>
      <w:r w:rsidRPr="009F54F2">
        <w:rPr>
          <w:rFonts w:cstheme="minorHAnsi"/>
          <w:sz w:val="24"/>
          <w:szCs w:val="24"/>
        </w:rPr>
        <w:t xml:space="preserve">picture when responding to the questions. </w:t>
      </w:r>
    </w:p>
    <w:p w14:paraId="74E0DC68" w14:textId="77777777" w:rsidR="00B33F23" w:rsidRPr="00040053" w:rsidRDefault="00040053" w:rsidP="00040053">
      <w:pPr>
        <w:pStyle w:val="ListParagraph"/>
        <w:numPr>
          <w:ilvl w:val="0"/>
          <w:numId w:val="17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 fact, i</w:t>
      </w:r>
      <w:r w:rsidRPr="009F54F2">
        <w:rPr>
          <w:rFonts w:cstheme="minorHAnsi"/>
          <w:sz w:val="24"/>
          <w:szCs w:val="24"/>
        </w:rPr>
        <w:t>t is expected that you will have low ratings in one or more areas.</w:t>
      </w:r>
      <w:r w:rsidRPr="00CB10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You will utilize the identified </w:t>
      </w:r>
      <w:r w:rsidRPr="00CB10EB">
        <w:rPr>
          <w:rFonts w:cstheme="minorHAnsi"/>
          <w:sz w:val="24"/>
          <w:szCs w:val="24"/>
        </w:rPr>
        <w:t>sustainability strengths and challenges</w:t>
      </w:r>
      <w:r>
        <w:rPr>
          <w:rFonts w:cstheme="minorHAnsi"/>
          <w:sz w:val="24"/>
          <w:szCs w:val="24"/>
        </w:rPr>
        <w:t xml:space="preserve"> to reflect on your capacity to sustain your local efforts. This reflection will then be used to guide the development of a </w:t>
      </w:r>
      <w:r w:rsidRPr="00CB10EB">
        <w:rPr>
          <w:rFonts w:cstheme="minorHAnsi"/>
          <w:sz w:val="24"/>
          <w:szCs w:val="24"/>
        </w:rPr>
        <w:t>stainability plan.</w:t>
      </w:r>
    </w:p>
    <w:p w14:paraId="71747AA3" w14:textId="77777777" w:rsidR="00677BAE" w:rsidRPr="00677BAE" w:rsidRDefault="00677BAE" w:rsidP="00677BAE">
      <w:pPr>
        <w:rPr>
          <w:b/>
          <w:sz w:val="24"/>
          <w:szCs w:val="24"/>
        </w:rPr>
      </w:pPr>
      <w:r w:rsidRPr="00677BAE">
        <w:rPr>
          <w:b/>
          <w:sz w:val="24"/>
          <w:szCs w:val="24"/>
        </w:rPr>
        <w:t xml:space="preserve">Step 1 – Complete the </w:t>
      </w:r>
      <w:r>
        <w:rPr>
          <w:b/>
          <w:sz w:val="24"/>
          <w:szCs w:val="24"/>
        </w:rPr>
        <w:t>Assessment</w:t>
      </w:r>
    </w:p>
    <w:p w14:paraId="1C91BEF8" w14:textId="77777777" w:rsidR="00853C45" w:rsidRDefault="00677BAE" w:rsidP="00677B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Receive </w:t>
      </w:r>
      <w:r w:rsidR="005873EB">
        <w:rPr>
          <w:sz w:val="24"/>
          <w:szCs w:val="24"/>
        </w:rPr>
        <w:t xml:space="preserve">an </w:t>
      </w:r>
      <w:r w:rsidR="00853C45" w:rsidRPr="00677BAE">
        <w:rPr>
          <w:sz w:val="24"/>
          <w:szCs w:val="24"/>
        </w:rPr>
        <w:t>email invitation to participate in the survey</w:t>
      </w:r>
      <w:r w:rsidR="00D0063E">
        <w:rPr>
          <w:sz w:val="24"/>
          <w:szCs w:val="24"/>
        </w:rPr>
        <w:t>. E</w:t>
      </w:r>
      <w:r>
        <w:rPr>
          <w:sz w:val="24"/>
          <w:szCs w:val="24"/>
        </w:rPr>
        <w:t xml:space="preserve">ach </w:t>
      </w:r>
      <w:r w:rsidR="009307F3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D0063E">
        <w:rPr>
          <w:sz w:val="24"/>
          <w:szCs w:val="24"/>
        </w:rPr>
        <w:t xml:space="preserve">you identified </w:t>
      </w:r>
      <w:r w:rsidR="009307F3">
        <w:rPr>
          <w:sz w:val="24"/>
          <w:szCs w:val="24"/>
        </w:rPr>
        <w:t xml:space="preserve">should receive a link from </w:t>
      </w:r>
      <w:r>
        <w:rPr>
          <w:sz w:val="24"/>
          <w:szCs w:val="24"/>
        </w:rPr>
        <w:t>OU/PIRE.</w:t>
      </w:r>
      <w:r w:rsidR="005873EB">
        <w:rPr>
          <w:sz w:val="24"/>
          <w:szCs w:val="24"/>
        </w:rPr>
        <w:t xml:space="preserve"> The project director will want to verify </w:t>
      </w:r>
      <w:r w:rsidR="009307F3">
        <w:rPr>
          <w:sz w:val="24"/>
          <w:szCs w:val="24"/>
        </w:rPr>
        <w:t xml:space="preserve">locally </w:t>
      </w:r>
      <w:r w:rsidR="005873EB">
        <w:rPr>
          <w:sz w:val="24"/>
          <w:szCs w:val="24"/>
        </w:rPr>
        <w:t xml:space="preserve">that everyone </w:t>
      </w:r>
      <w:r w:rsidR="00890056">
        <w:rPr>
          <w:sz w:val="24"/>
          <w:szCs w:val="24"/>
        </w:rPr>
        <w:t xml:space="preserve">has </w:t>
      </w:r>
      <w:r w:rsidR="005873EB">
        <w:rPr>
          <w:sz w:val="24"/>
          <w:szCs w:val="24"/>
        </w:rPr>
        <w:t xml:space="preserve">received </w:t>
      </w:r>
      <w:r w:rsidR="00D0063E">
        <w:rPr>
          <w:sz w:val="24"/>
          <w:szCs w:val="24"/>
        </w:rPr>
        <w:t xml:space="preserve">an email with </w:t>
      </w:r>
      <w:r w:rsidR="005873EB">
        <w:rPr>
          <w:sz w:val="24"/>
          <w:szCs w:val="24"/>
        </w:rPr>
        <w:t>the link</w:t>
      </w:r>
      <w:r w:rsidR="00D0063E">
        <w:rPr>
          <w:sz w:val="24"/>
          <w:szCs w:val="24"/>
        </w:rPr>
        <w:t xml:space="preserve"> and set an internal deadline for when the Core Team members need to complete the Assessment.</w:t>
      </w:r>
    </w:p>
    <w:p w14:paraId="1E57FE65" w14:textId="77777777" w:rsidR="00890056" w:rsidRDefault="00890056" w:rsidP="00677B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Check-in with Core Team members to ensure they have completed their assessments. </w:t>
      </w:r>
    </w:p>
    <w:p w14:paraId="30C73B6A" w14:textId="77777777" w:rsidR="00677BAE" w:rsidRDefault="00890056" w:rsidP="00677B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will want </w:t>
      </w:r>
      <w:r w:rsidR="00677BAE">
        <w:rPr>
          <w:sz w:val="24"/>
          <w:szCs w:val="24"/>
        </w:rPr>
        <w:t xml:space="preserve">to allow sufficient time </w:t>
      </w:r>
      <w:r>
        <w:rPr>
          <w:sz w:val="24"/>
          <w:szCs w:val="24"/>
        </w:rPr>
        <w:t xml:space="preserve">for </w:t>
      </w:r>
      <w:r w:rsidR="00D0063E">
        <w:rPr>
          <w:sz w:val="24"/>
          <w:szCs w:val="24"/>
        </w:rPr>
        <w:t xml:space="preserve">the next step of </w:t>
      </w:r>
      <w:r>
        <w:rPr>
          <w:sz w:val="24"/>
          <w:szCs w:val="24"/>
        </w:rPr>
        <w:t>hold</w:t>
      </w:r>
      <w:r w:rsidR="00D0063E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D0063E">
        <w:rPr>
          <w:sz w:val="24"/>
          <w:szCs w:val="24"/>
        </w:rPr>
        <w:t xml:space="preserve">and completing </w:t>
      </w:r>
      <w:r>
        <w:rPr>
          <w:sz w:val="24"/>
          <w:szCs w:val="24"/>
        </w:rPr>
        <w:t>your reflection</w:t>
      </w:r>
      <w:r w:rsidR="00D0063E">
        <w:rPr>
          <w:sz w:val="24"/>
          <w:szCs w:val="24"/>
        </w:rPr>
        <w:t xml:space="preserve"> process</w:t>
      </w:r>
      <w:r w:rsidR="00677BAE">
        <w:rPr>
          <w:sz w:val="24"/>
          <w:szCs w:val="24"/>
        </w:rPr>
        <w:t>.</w:t>
      </w:r>
    </w:p>
    <w:p w14:paraId="663F195D" w14:textId="77777777" w:rsidR="009307F3" w:rsidRPr="00677BAE" w:rsidRDefault="009307F3" w:rsidP="009307F3">
      <w:pPr>
        <w:pStyle w:val="ListParagraph"/>
        <w:ind w:left="1080"/>
        <w:rPr>
          <w:sz w:val="24"/>
          <w:szCs w:val="24"/>
        </w:rPr>
      </w:pPr>
    </w:p>
    <w:p w14:paraId="1DBCE60B" w14:textId="77777777" w:rsidR="00677BAE" w:rsidRPr="00677BAE" w:rsidRDefault="00677BAE" w:rsidP="00677BAE">
      <w:pPr>
        <w:rPr>
          <w:b/>
          <w:sz w:val="24"/>
          <w:szCs w:val="24"/>
        </w:rPr>
      </w:pPr>
      <w:r w:rsidRPr="00677BAE">
        <w:rPr>
          <w:b/>
          <w:sz w:val="24"/>
          <w:szCs w:val="24"/>
        </w:rPr>
        <w:t>Step 2 – Complete the Reflection Process</w:t>
      </w:r>
    </w:p>
    <w:p w14:paraId="72D204FE" w14:textId="77777777" w:rsidR="00677BAE" w:rsidRDefault="00890056" w:rsidP="00677BA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After all of the Core Team </w:t>
      </w:r>
      <w:r w:rsidR="00D0063E">
        <w:rPr>
          <w:sz w:val="24"/>
          <w:szCs w:val="24"/>
        </w:rPr>
        <w:t>members have</w:t>
      </w:r>
      <w:r>
        <w:rPr>
          <w:sz w:val="24"/>
          <w:szCs w:val="24"/>
        </w:rPr>
        <w:t xml:space="preserve"> completed the Online Assessment, you will r</w:t>
      </w:r>
      <w:r w:rsidR="00677BAE">
        <w:rPr>
          <w:sz w:val="24"/>
          <w:szCs w:val="24"/>
        </w:rPr>
        <w:t xml:space="preserve">eceive </w:t>
      </w:r>
      <w:r>
        <w:rPr>
          <w:sz w:val="24"/>
          <w:szCs w:val="24"/>
        </w:rPr>
        <w:t>a</w:t>
      </w:r>
      <w:r w:rsidR="00677BAE">
        <w:rPr>
          <w:sz w:val="24"/>
          <w:szCs w:val="24"/>
        </w:rPr>
        <w:t xml:space="preserve"> summary</w:t>
      </w:r>
      <w:r>
        <w:rPr>
          <w:sz w:val="24"/>
          <w:szCs w:val="24"/>
        </w:rPr>
        <w:t xml:space="preserve"> Assessment </w:t>
      </w:r>
      <w:r w:rsidR="009307F3">
        <w:rPr>
          <w:sz w:val="24"/>
          <w:szCs w:val="24"/>
        </w:rPr>
        <w:t>Report</w:t>
      </w:r>
      <w:r w:rsidR="00677BAE">
        <w:rPr>
          <w:sz w:val="24"/>
          <w:szCs w:val="24"/>
        </w:rPr>
        <w:t xml:space="preserve"> from OU/PIRE.</w:t>
      </w:r>
      <w:r w:rsidR="00D0063E">
        <w:rPr>
          <w:sz w:val="24"/>
          <w:szCs w:val="24"/>
        </w:rPr>
        <w:t xml:space="preserve"> Note: It will have all of the scores averaged together. Individual respondents will receive a summary that has their individual results. These are for each individual’s records. The Average Summary report should be the document that is shared with the group for the reflection discussion.</w:t>
      </w:r>
    </w:p>
    <w:p w14:paraId="7E166BAC" w14:textId="77777777" w:rsidR="00890056" w:rsidRDefault="009307F3" w:rsidP="00CB60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90056">
        <w:rPr>
          <w:sz w:val="24"/>
          <w:szCs w:val="24"/>
        </w:rPr>
        <w:t xml:space="preserve">Schedule </w:t>
      </w:r>
      <w:r w:rsidR="00677BAE" w:rsidRPr="00890056">
        <w:rPr>
          <w:sz w:val="24"/>
          <w:szCs w:val="24"/>
        </w:rPr>
        <w:t>a reflection meeting with the core group members</w:t>
      </w:r>
      <w:r w:rsidR="00890056" w:rsidRPr="00890056">
        <w:rPr>
          <w:sz w:val="24"/>
          <w:szCs w:val="24"/>
        </w:rPr>
        <w:t xml:space="preserve"> to work through the Reflection Questions. </w:t>
      </w:r>
    </w:p>
    <w:p w14:paraId="3D2D98CD" w14:textId="77777777" w:rsidR="005873EB" w:rsidRPr="00890056" w:rsidRDefault="00677BAE" w:rsidP="00CB60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90056">
        <w:rPr>
          <w:sz w:val="24"/>
          <w:szCs w:val="24"/>
        </w:rPr>
        <w:t xml:space="preserve">Facilitate a discussion </w:t>
      </w:r>
      <w:r w:rsidR="009307F3" w:rsidRPr="00890056">
        <w:rPr>
          <w:sz w:val="24"/>
          <w:szCs w:val="24"/>
        </w:rPr>
        <w:t xml:space="preserve">utilizing the </w:t>
      </w:r>
      <w:r w:rsidR="00693CA6" w:rsidRPr="00890056">
        <w:rPr>
          <w:sz w:val="24"/>
          <w:szCs w:val="24"/>
        </w:rPr>
        <w:t>Reflection Questions for Developing a Sustainability Plan.</w:t>
      </w:r>
      <w:r w:rsidR="00890056">
        <w:rPr>
          <w:sz w:val="24"/>
          <w:szCs w:val="24"/>
        </w:rPr>
        <w:t xml:space="preserve"> You will need the</w:t>
      </w:r>
      <w:r w:rsidR="00D0063E">
        <w:rPr>
          <w:sz w:val="24"/>
          <w:szCs w:val="24"/>
        </w:rPr>
        <w:t xml:space="preserve"> Average</w:t>
      </w:r>
      <w:r w:rsidR="00890056">
        <w:rPr>
          <w:sz w:val="24"/>
          <w:szCs w:val="24"/>
        </w:rPr>
        <w:t xml:space="preserve"> Assessment Summary Report for this discussion.</w:t>
      </w:r>
    </w:p>
    <w:p w14:paraId="194BB8EE" w14:textId="2442F288" w:rsidR="009307F3" w:rsidRDefault="009307F3" w:rsidP="00677BA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Send your completed </w:t>
      </w:r>
      <w:r w:rsidR="00794658">
        <w:rPr>
          <w:sz w:val="24"/>
          <w:szCs w:val="24"/>
        </w:rPr>
        <w:t>Reflection Questions t</w:t>
      </w:r>
      <w:r>
        <w:rPr>
          <w:sz w:val="24"/>
          <w:szCs w:val="24"/>
        </w:rPr>
        <w:t xml:space="preserve">o </w:t>
      </w:r>
      <w:r w:rsidR="00415F39" w:rsidRPr="00415F39">
        <w:rPr>
          <w:b/>
          <w:bCs/>
          <w:sz w:val="24"/>
          <w:szCs w:val="24"/>
          <w:highlight w:val="yellow"/>
        </w:rPr>
        <w:t>Laura Milazzo: milazzol@ohio.edu.</w:t>
      </w:r>
    </w:p>
    <w:sectPr w:rsidR="009307F3" w:rsidSect="002254B0">
      <w:headerReference w:type="default" r:id="rId7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1FC84" w14:textId="77777777" w:rsidR="00354301" w:rsidRDefault="00354301" w:rsidP="00883585">
      <w:pPr>
        <w:spacing w:after="0" w:line="240" w:lineRule="auto"/>
      </w:pPr>
      <w:r>
        <w:separator/>
      </w:r>
    </w:p>
  </w:endnote>
  <w:endnote w:type="continuationSeparator" w:id="0">
    <w:p w14:paraId="2E32E94D" w14:textId="77777777" w:rsidR="00354301" w:rsidRDefault="00354301" w:rsidP="008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A508" w14:textId="77777777" w:rsidR="00354301" w:rsidRDefault="00354301" w:rsidP="00883585">
      <w:pPr>
        <w:spacing w:after="0" w:line="240" w:lineRule="auto"/>
      </w:pPr>
      <w:r>
        <w:separator/>
      </w:r>
    </w:p>
  </w:footnote>
  <w:footnote w:type="continuationSeparator" w:id="0">
    <w:p w14:paraId="1C796036" w14:textId="77777777" w:rsidR="00354301" w:rsidRDefault="00354301" w:rsidP="0088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4F71" w14:textId="77777777" w:rsidR="00DA1277" w:rsidRPr="002254B0" w:rsidRDefault="00DA1277" w:rsidP="00B33F23">
    <w:pPr>
      <w:pStyle w:val="Header"/>
      <w:spacing w:after="480"/>
      <w:rPr>
        <w:b/>
        <w:sz w:val="32"/>
      </w:rPr>
    </w:pPr>
    <w:r w:rsidRPr="00DA1277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6C9530F" wp14:editId="74841354">
          <wp:simplePos x="0" y="0"/>
          <wp:positionH relativeFrom="column">
            <wp:posOffset>2237740</wp:posOffset>
          </wp:positionH>
          <wp:positionV relativeFrom="paragraph">
            <wp:posOffset>-324168</wp:posOffset>
          </wp:positionV>
          <wp:extent cx="102870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A COP RCORP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F17"/>
    <w:multiLevelType w:val="hybridMultilevel"/>
    <w:tmpl w:val="CCB0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E77A5"/>
    <w:multiLevelType w:val="hybridMultilevel"/>
    <w:tmpl w:val="7CF2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1A1"/>
    <w:multiLevelType w:val="hybridMultilevel"/>
    <w:tmpl w:val="1F86CBE0"/>
    <w:lvl w:ilvl="0" w:tplc="FAF4F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EBF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C00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8B4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800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37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52B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46B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60FB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054FE1"/>
    <w:multiLevelType w:val="hybridMultilevel"/>
    <w:tmpl w:val="B7164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D5D8E"/>
    <w:multiLevelType w:val="hybridMultilevel"/>
    <w:tmpl w:val="B96030B8"/>
    <w:lvl w:ilvl="0" w:tplc="5AF6E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C25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C35E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EBB9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878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86967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AA4E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8699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61D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B92398"/>
    <w:multiLevelType w:val="hybridMultilevel"/>
    <w:tmpl w:val="B7164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943E8"/>
    <w:multiLevelType w:val="hybridMultilevel"/>
    <w:tmpl w:val="5588A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E0B4C"/>
    <w:multiLevelType w:val="hybridMultilevel"/>
    <w:tmpl w:val="B7164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F1C86"/>
    <w:multiLevelType w:val="hybridMultilevel"/>
    <w:tmpl w:val="F4CAA5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F0C7F"/>
    <w:multiLevelType w:val="hybridMultilevel"/>
    <w:tmpl w:val="1DDAB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A259A"/>
    <w:multiLevelType w:val="hybridMultilevel"/>
    <w:tmpl w:val="6E845C82"/>
    <w:lvl w:ilvl="0" w:tplc="C424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4CA3"/>
    <w:multiLevelType w:val="hybridMultilevel"/>
    <w:tmpl w:val="CCB0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22B31"/>
    <w:multiLevelType w:val="hybridMultilevel"/>
    <w:tmpl w:val="9C88B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E78F8"/>
    <w:multiLevelType w:val="hybridMultilevel"/>
    <w:tmpl w:val="2710092E"/>
    <w:lvl w:ilvl="0" w:tplc="96A8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DC1582">
      <w:start w:val="5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D60082">
      <w:start w:val="5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58CD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CC9F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2C7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AE5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8404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288E3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63FF6787"/>
    <w:multiLevelType w:val="multilevel"/>
    <w:tmpl w:val="7DE677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5B0F90"/>
    <w:multiLevelType w:val="hybridMultilevel"/>
    <w:tmpl w:val="5172F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7F2634"/>
    <w:multiLevelType w:val="hybridMultilevel"/>
    <w:tmpl w:val="CCB0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85"/>
    <w:rsid w:val="000147A2"/>
    <w:rsid w:val="00040053"/>
    <w:rsid w:val="0008065C"/>
    <w:rsid w:val="001224A0"/>
    <w:rsid w:val="00152F0A"/>
    <w:rsid w:val="001875FC"/>
    <w:rsid w:val="001A1C60"/>
    <w:rsid w:val="001C1F44"/>
    <w:rsid w:val="002254B0"/>
    <w:rsid w:val="00242371"/>
    <w:rsid w:val="002A5D2B"/>
    <w:rsid w:val="002C32FF"/>
    <w:rsid w:val="00307106"/>
    <w:rsid w:val="003361F0"/>
    <w:rsid w:val="00354301"/>
    <w:rsid w:val="00365EBE"/>
    <w:rsid w:val="00367BF8"/>
    <w:rsid w:val="003B1B6A"/>
    <w:rsid w:val="004132E8"/>
    <w:rsid w:val="00415F39"/>
    <w:rsid w:val="00491060"/>
    <w:rsid w:val="005873EB"/>
    <w:rsid w:val="00677BAE"/>
    <w:rsid w:val="00693CA6"/>
    <w:rsid w:val="00716573"/>
    <w:rsid w:val="00716FBD"/>
    <w:rsid w:val="0078438D"/>
    <w:rsid w:val="00794658"/>
    <w:rsid w:val="00853C45"/>
    <w:rsid w:val="00873843"/>
    <w:rsid w:val="00883585"/>
    <w:rsid w:val="00890056"/>
    <w:rsid w:val="008B47BD"/>
    <w:rsid w:val="008C1C0C"/>
    <w:rsid w:val="008C301A"/>
    <w:rsid w:val="008E7D3C"/>
    <w:rsid w:val="00902204"/>
    <w:rsid w:val="009307F3"/>
    <w:rsid w:val="00966E5B"/>
    <w:rsid w:val="009A5E6D"/>
    <w:rsid w:val="00B33F23"/>
    <w:rsid w:val="00BD32C2"/>
    <w:rsid w:val="00BE2AE2"/>
    <w:rsid w:val="00C070E5"/>
    <w:rsid w:val="00C23B46"/>
    <w:rsid w:val="00C50068"/>
    <w:rsid w:val="00C5182E"/>
    <w:rsid w:val="00C84665"/>
    <w:rsid w:val="00CC2559"/>
    <w:rsid w:val="00D0063E"/>
    <w:rsid w:val="00D03492"/>
    <w:rsid w:val="00D115E3"/>
    <w:rsid w:val="00D65B82"/>
    <w:rsid w:val="00DA1277"/>
    <w:rsid w:val="00DE4697"/>
    <w:rsid w:val="00F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F7ABA"/>
  <w15:chartTrackingRefBased/>
  <w15:docId w15:val="{5C6A96FA-9823-4CFC-BBA7-1B337C0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C0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85"/>
  </w:style>
  <w:style w:type="paragraph" w:styleId="Footer">
    <w:name w:val="footer"/>
    <w:basedOn w:val="Normal"/>
    <w:link w:val="FooterChar"/>
    <w:uiPriority w:val="99"/>
    <w:unhideWhenUsed/>
    <w:rsid w:val="0088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85"/>
  </w:style>
  <w:style w:type="table" w:styleId="TableGrid">
    <w:name w:val="Table Grid"/>
    <w:basedOn w:val="TableNormal"/>
    <w:uiPriority w:val="39"/>
    <w:rsid w:val="0088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1C0C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C1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Milazzo, Laura</dc:creator>
  <cp:keywords/>
  <dc:description/>
  <cp:lastModifiedBy>Nia Dix</cp:lastModifiedBy>
  <cp:revision>2</cp:revision>
  <dcterms:created xsi:type="dcterms:W3CDTF">2020-09-21T19:20:00Z</dcterms:created>
  <dcterms:modified xsi:type="dcterms:W3CDTF">2020-09-21T19:20:00Z</dcterms:modified>
</cp:coreProperties>
</file>